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7C77" w14:textId="77777777" w:rsidR="009F1724" w:rsidRPr="00801F0A" w:rsidRDefault="009F1724" w:rsidP="009F1724">
      <w:pPr>
        <w:jc w:val="both"/>
        <w:rPr>
          <w:rFonts w:ascii="Times New Roman" w:eastAsia="Times New Roman" w:hAnsi="Times New Roman"/>
          <w:b/>
          <w:iCs/>
          <w:sz w:val="24"/>
          <w:szCs w:val="24"/>
          <w:lang w:val="sr-Cyrl-CS"/>
        </w:rPr>
      </w:pPr>
      <w:r w:rsidRPr="00801F0A">
        <w:rPr>
          <w:rFonts w:ascii="Times New Roman" w:eastAsia="Times New Roman" w:hAnsi="Times New Roman"/>
          <w:b/>
          <w:iCs/>
          <w:sz w:val="24"/>
          <w:szCs w:val="24"/>
          <w:lang w:val="sr-Cyrl-RS"/>
        </w:rPr>
        <w:t>6</w:t>
      </w:r>
      <w:r w:rsidRPr="00801F0A">
        <w:rPr>
          <w:rFonts w:ascii="Times New Roman" w:eastAsia="Times New Roman" w:hAnsi="Times New Roman"/>
          <w:b/>
          <w:iCs/>
          <w:sz w:val="24"/>
          <w:szCs w:val="24"/>
        </w:rPr>
        <w:t xml:space="preserve">) ОБРАЗАЦ СТРУКТУРЕ  ЦЕНА </w:t>
      </w:r>
      <w:r w:rsidRPr="00801F0A">
        <w:rPr>
          <w:rFonts w:ascii="Times New Roman" w:eastAsia="Times New Roman" w:hAnsi="Times New Roman"/>
          <w:b/>
          <w:iCs/>
          <w:sz w:val="24"/>
          <w:szCs w:val="24"/>
          <w:lang w:val="sr-Cyrl-CS"/>
        </w:rPr>
        <w:t xml:space="preserve"> </w:t>
      </w:r>
    </w:p>
    <w:p w14:paraId="7646C9D4" w14:textId="77777777" w:rsidR="009F1724" w:rsidRPr="00801F0A" w:rsidRDefault="009F1724" w:rsidP="009F1724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iCs/>
          <w:sz w:val="24"/>
          <w:szCs w:val="24"/>
          <w:lang w:val="sr-Cyrl-CS"/>
        </w:rPr>
      </w:pPr>
      <w:r w:rsidRPr="00801F0A">
        <w:rPr>
          <w:rFonts w:ascii="Times New Roman" w:eastAsia="Times New Roman" w:hAnsi="Times New Roman"/>
          <w:b/>
          <w:iCs/>
          <w:sz w:val="24"/>
          <w:szCs w:val="24"/>
          <w:lang w:val="sr-Cyrl-CS"/>
        </w:rPr>
        <w:t xml:space="preserve">Јединична цена </w:t>
      </w:r>
      <w:r w:rsidRPr="00801F0A">
        <w:rPr>
          <w:rFonts w:ascii="Times New Roman" w:eastAsia="Times New Roman" w:hAnsi="Times New Roman"/>
          <w:b/>
          <w:iCs/>
          <w:sz w:val="24"/>
          <w:szCs w:val="24"/>
          <w:lang w:val="sr-Latn-RS"/>
        </w:rPr>
        <w:t xml:space="preserve">kWh </w:t>
      </w:r>
      <w:r w:rsidRPr="00801F0A">
        <w:rPr>
          <w:rFonts w:ascii="Times New Roman" w:eastAsia="Times New Roman" w:hAnsi="Times New Roman"/>
          <w:b/>
          <w:iCs/>
          <w:sz w:val="24"/>
          <w:szCs w:val="24"/>
          <w:lang w:val="sr-Cyrl-CS"/>
        </w:rPr>
        <w:t>за сва места примопредаје.</w:t>
      </w:r>
    </w:p>
    <w:p w14:paraId="14B9B9BD" w14:textId="77777777" w:rsidR="009F1724" w:rsidRPr="00801F0A" w:rsidRDefault="009F1724" w:rsidP="009F1724">
      <w:pPr>
        <w:suppressAutoHyphens/>
        <w:spacing w:after="0" w:line="100" w:lineRule="atLeast"/>
        <w:ind w:left="1440"/>
        <w:jc w:val="both"/>
        <w:rPr>
          <w:rFonts w:ascii="Times New Roman" w:eastAsia="Times New Roman" w:hAnsi="Times New Roman"/>
          <w:b/>
          <w:iCs/>
          <w:sz w:val="24"/>
          <w:szCs w:val="24"/>
          <w:lang w:val="sr-Cyrl-CS"/>
        </w:rPr>
      </w:pP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30"/>
        <w:gridCol w:w="758"/>
        <w:gridCol w:w="1391"/>
        <w:gridCol w:w="1387"/>
        <w:gridCol w:w="1478"/>
        <w:gridCol w:w="1831"/>
        <w:gridCol w:w="1800"/>
      </w:tblGrid>
      <w:tr w:rsidR="00EF1F01" w:rsidRPr="00857B2E" w14:paraId="4D82F29C" w14:textId="77777777" w:rsidTr="00EF1F0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18EB" w14:textId="77777777" w:rsidR="00EF1F01" w:rsidRPr="00857B2E" w:rsidRDefault="00EF1F01" w:rsidP="009C5F8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57B2E">
              <w:rPr>
                <w:rFonts w:ascii="Arial" w:hAnsi="Arial" w:cs="Arial"/>
                <w:b/>
                <w:lang w:val="sr-Cyrl-CS"/>
              </w:rPr>
              <w:t>Предмет набавке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</w:tcPr>
          <w:p w14:paraId="4A89E409" w14:textId="77777777" w:rsidR="00EF1F01" w:rsidRPr="00857B2E" w:rsidRDefault="00EF1F01" w:rsidP="009C5F88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857B2E">
              <w:rPr>
                <w:rFonts w:ascii="Arial" w:hAnsi="Arial" w:cs="Arial"/>
                <w:b/>
                <w:lang w:val="ru-RU"/>
              </w:rPr>
              <w:t>Јед</w:t>
            </w:r>
            <w:proofErr w:type="spellEnd"/>
            <w:r w:rsidRPr="00857B2E">
              <w:rPr>
                <w:rFonts w:ascii="Arial" w:hAnsi="Arial" w:cs="Arial"/>
                <w:b/>
                <w:lang w:val="ru-RU"/>
              </w:rPr>
              <w:t>. мере</w:t>
            </w:r>
          </w:p>
        </w:tc>
        <w:tc>
          <w:tcPr>
            <w:tcW w:w="1391" w:type="dxa"/>
            <w:shd w:val="clear" w:color="auto" w:fill="auto"/>
          </w:tcPr>
          <w:p w14:paraId="26FE0011" w14:textId="77777777" w:rsidR="00EF1F01" w:rsidRPr="00857B2E" w:rsidRDefault="00EF1F01" w:rsidP="009C5F88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857B2E">
              <w:rPr>
                <w:rFonts w:ascii="Arial" w:hAnsi="Arial" w:cs="Arial"/>
                <w:b/>
                <w:lang w:val="ru-RU"/>
              </w:rPr>
              <w:t>Јединична</w:t>
            </w:r>
            <w:proofErr w:type="spellEnd"/>
            <w:r w:rsidRPr="00857B2E">
              <w:rPr>
                <w:rFonts w:ascii="Arial" w:hAnsi="Arial" w:cs="Arial"/>
                <w:b/>
                <w:lang w:val="ru-RU"/>
              </w:rPr>
              <w:t xml:space="preserve"> цена без ПДВ-а</w:t>
            </w:r>
          </w:p>
        </w:tc>
        <w:tc>
          <w:tcPr>
            <w:tcW w:w="1387" w:type="dxa"/>
            <w:shd w:val="clear" w:color="auto" w:fill="auto"/>
          </w:tcPr>
          <w:p w14:paraId="79555AFF" w14:textId="68C8F6EF" w:rsidR="00EF1F01" w:rsidRPr="00857B2E" w:rsidRDefault="00EF1F01" w:rsidP="009C5F88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857B2E">
              <w:rPr>
                <w:rFonts w:ascii="Arial" w:hAnsi="Arial" w:cs="Arial"/>
                <w:b/>
                <w:lang w:val="ru-RU"/>
              </w:rPr>
              <w:t>Јединична</w:t>
            </w:r>
            <w:proofErr w:type="spellEnd"/>
            <w:r w:rsidRPr="00857B2E">
              <w:rPr>
                <w:rFonts w:ascii="Arial" w:hAnsi="Arial" w:cs="Arial"/>
                <w:b/>
                <w:lang w:val="ru-RU"/>
              </w:rPr>
              <w:t xml:space="preserve"> цена </w:t>
            </w:r>
            <w:proofErr w:type="spellStart"/>
            <w:r w:rsidRPr="00857B2E">
              <w:rPr>
                <w:rFonts w:ascii="Arial" w:hAnsi="Arial" w:cs="Arial"/>
                <w:b/>
                <w:lang w:val="ru-RU"/>
              </w:rPr>
              <w:t>са</w:t>
            </w:r>
            <w:proofErr w:type="spellEnd"/>
            <w:r w:rsidRPr="00857B2E">
              <w:rPr>
                <w:rFonts w:ascii="Arial" w:hAnsi="Arial" w:cs="Arial"/>
                <w:b/>
                <w:lang w:val="ru-RU"/>
              </w:rPr>
              <w:t xml:space="preserve"> ПДВ-ом</w:t>
            </w:r>
          </w:p>
        </w:tc>
        <w:tc>
          <w:tcPr>
            <w:tcW w:w="1478" w:type="dxa"/>
            <w:shd w:val="clear" w:color="auto" w:fill="auto"/>
          </w:tcPr>
          <w:p w14:paraId="5A90EC22" w14:textId="77777777" w:rsidR="00EF1F01" w:rsidRPr="00857B2E" w:rsidRDefault="00EF1F01" w:rsidP="009C5F88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857B2E">
              <w:rPr>
                <w:rFonts w:ascii="Arial" w:hAnsi="Arial" w:cs="Arial"/>
                <w:b/>
                <w:lang w:val="ru-RU"/>
              </w:rPr>
              <w:t>Процењене</w:t>
            </w:r>
            <w:proofErr w:type="spellEnd"/>
            <w:r w:rsidRPr="00857B2E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Pr="00857B2E">
              <w:rPr>
                <w:rFonts w:ascii="Arial" w:hAnsi="Arial" w:cs="Arial"/>
                <w:b/>
                <w:lang w:val="ru-RU"/>
              </w:rPr>
              <w:t>количине</w:t>
            </w:r>
            <w:proofErr w:type="spellEnd"/>
            <w:r w:rsidRPr="00857B2E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857B2E">
              <w:rPr>
                <w:rFonts w:ascii="Arial" w:hAnsi="Arial" w:cs="Arial"/>
                <w:b/>
                <w:u w:val="single"/>
                <w:lang w:val="ru-RU"/>
              </w:rPr>
              <w:t xml:space="preserve">за 12 </w:t>
            </w:r>
            <w:proofErr w:type="spellStart"/>
            <w:r w:rsidRPr="00857B2E">
              <w:rPr>
                <w:rFonts w:ascii="Arial" w:hAnsi="Arial" w:cs="Arial"/>
                <w:b/>
                <w:u w:val="single"/>
                <w:lang w:val="ru-RU"/>
              </w:rPr>
              <w:t>месеци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14:paraId="04BFCC2A" w14:textId="77777777" w:rsidR="00EF1F01" w:rsidRPr="00857B2E" w:rsidRDefault="00EF1F01" w:rsidP="009C5F88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857B2E">
              <w:rPr>
                <w:rFonts w:ascii="Arial" w:hAnsi="Arial" w:cs="Arial"/>
                <w:b/>
                <w:lang w:val="ru-RU"/>
              </w:rPr>
              <w:t>Укупна</w:t>
            </w:r>
            <w:proofErr w:type="spellEnd"/>
            <w:r w:rsidRPr="00857B2E">
              <w:rPr>
                <w:rFonts w:ascii="Arial" w:hAnsi="Arial" w:cs="Arial"/>
                <w:b/>
                <w:lang w:val="ru-RU"/>
              </w:rPr>
              <w:t xml:space="preserve"> цена без ПДВ-а за </w:t>
            </w:r>
            <w:proofErr w:type="spellStart"/>
            <w:r w:rsidRPr="00857B2E">
              <w:rPr>
                <w:rFonts w:ascii="Arial" w:hAnsi="Arial" w:cs="Arial"/>
                <w:b/>
                <w:lang w:val="ru-RU"/>
              </w:rPr>
              <w:t>процењене</w:t>
            </w:r>
            <w:proofErr w:type="spellEnd"/>
            <w:r w:rsidRPr="00857B2E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Pr="00857B2E">
              <w:rPr>
                <w:rFonts w:ascii="Arial" w:hAnsi="Arial" w:cs="Arial"/>
                <w:b/>
                <w:lang w:val="ru-RU"/>
              </w:rPr>
              <w:t>количине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D082BBE" w14:textId="38F5AC11" w:rsidR="00EF1F01" w:rsidRPr="00857B2E" w:rsidRDefault="00EF1F01" w:rsidP="009C5F88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857B2E">
              <w:rPr>
                <w:rFonts w:ascii="Arial" w:hAnsi="Arial" w:cs="Arial"/>
                <w:b/>
                <w:lang w:val="ru-RU"/>
              </w:rPr>
              <w:t>Укупна</w:t>
            </w:r>
            <w:proofErr w:type="spellEnd"/>
            <w:r w:rsidRPr="00857B2E">
              <w:rPr>
                <w:rFonts w:ascii="Arial" w:hAnsi="Arial" w:cs="Arial"/>
                <w:b/>
                <w:lang w:val="ru-RU"/>
              </w:rPr>
              <w:t xml:space="preserve"> цена </w:t>
            </w:r>
            <w:proofErr w:type="spellStart"/>
            <w:r w:rsidRPr="00857B2E">
              <w:rPr>
                <w:rFonts w:ascii="Arial" w:hAnsi="Arial" w:cs="Arial"/>
                <w:b/>
                <w:lang w:val="ru-RU"/>
              </w:rPr>
              <w:t>са</w:t>
            </w:r>
            <w:proofErr w:type="spellEnd"/>
            <w:r w:rsidRPr="00857B2E">
              <w:rPr>
                <w:rFonts w:ascii="Arial" w:hAnsi="Arial" w:cs="Arial"/>
                <w:b/>
                <w:lang w:val="ru-RU"/>
              </w:rPr>
              <w:t xml:space="preserve"> ПДВ-ом </w:t>
            </w:r>
            <w:r>
              <w:rPr>
                <w:rFonts w:ascii="Arial" w:hAnsi="Arial" w:cs="Arial"/>
                <w:b/>
                <w:lang w:val="ru-RU"/>
              </w:rPr>
              <w:t>з</w:t>
            </w:r>
            <w:r w:rsidRPr="00857B2E">
              <w:rPr>
                <w:rFonts w:ascii="Arial" w:hAnsi="Arial" w:cs="Arial"/>
                <w:b/>
                <w:lang w:val="ru-RU"/>
              </w:rPr>
              <w:t xml:space="preserve">а </w:t>
            </w:r>
            <w:proofErr w:type="spellStart"/>
            <w:r w:rsidRPr="00857B2E">
              <w:rPr>
                <w:rFonts w:ascii="Arial" w:hAnsi="Arial" w:cs="Arial"/>
                <w:b/>
                <w:lang w:val="ru-RU"/>
              </w:rPr>
              <w:t>процењене</w:t>
            </w:r>
            <w:proofErr w:type="spellEnd"/>
            <w:r w:rsidRPr="00857B2E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Pr="00857B2E">
              <w:rPr>
                <w:rFonts w:ascii="Arial" w:hAnsi="Arial" w:cs="Arial"/>
                <w:b/>
                <w:lang w:val="ru-RU"/>
              </w:rPr>
              <w:t>количине</w:t>
            </w:r>
            <w:proofErr w:type="spellEnd"/>
          </w:p>
        </w:tc>
      </w:tr>
      <w:tr w:rsidR="00EF1F01" w:rsidRPr="00857B2E" w14:paraId="067B5156" w14:textId="77777777" w:rsidTr="00EF1F01">
        <w:trPr>
          <w:trHeight w:val="375"/>
        </w:trPr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</w:tcPr>
          <w:p w14:paraId="33A23BAA" w14:textId="77777777" w:rsidR="00EF1F01" w:rsidRPr="00857B2E" w:rsidRDefault="00EF1F01" w:rsidP="009C5F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57B2E">
              <w:rPr>
                <w:rFonts w:ascii="Arial" w:hAnsi="Arial" w:cs="Arial"/>
                <w:b/>
                <w:lang w:val="ru-RU"/>
              </w:rPr>
              <w:t>1.</w:t>
            </w:r>
          </w:p>
        </w:tc>
        <w:tc>
          <w:tcPr>
            <w:tcW w:w="758" w:type="dxa"/>
            <w:shd w:val="clear" w:color="auto" w:fill="auto"/>
          </w:tcPr>
          <w:p w14:paraId="71D7BF4C" w14:textId="77777777" w:rsidR="00EF1F01" w:rsidRPr="00857B2E" w:rsidRDefault="00EF1F01" w:rsidP="009C5F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57B2E">
              <w:rPr>
                <w:rFonts w:ascii="Arial" w:hAnsi="Arial" w:cs="Arial"/>
                <w:b/>
                <w:lang w:val="ru-RU"/>
              </w:rPr>
              <w:t>2.</w:t>
            </w:r>
          </w:p>
        </w:tc>
        <w:tc>
          <w:tcPr>
            <w:tcW w:w="1391" w:type="dxa"/>
            <w:shd w:val="clear" w:color="auto" w:fill="auto"/>
          </w:tcPr>
          <w:p w14:paraId="7CD2BEF1" w14:textId="77777777" w:rsidR="00EF1F01" w:rsidRPr="00857B2E" w:rsidRDefault="00EF1F01" w:rsidP="009C5F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57B2E">
              <w:rPr>
                <w:rFonts w:ascii="Arial" w:hAnsi="Arial" w:cs="Arial"/>
                <w:b/>
                <w:lang w:val="ru-RU"/>
              </w:rPr>
              <w:t>3.</w:t>
            </w:r>
          </w:p>
        </w:tc>
        <w:tc>
          <w:tcPr>
            <w:tcW w:w="1387" w:type="dxa"/>
            <w:shd w:val="clear" w:color="auto" w:fill="auto"/>
          </w:tcPr>
          <w:p w14:paraId="3BF418F7" w14:textId="77777777" w:rsidR="00EF1F01" w:rsidRPr="00857B2E" w:rsidRDefault="00EF1F01" w:rsidP="009C5F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57B2E">
              <w:rPr>
                <w:rFonts w:ascii="Arial" w:hAnsi="Arial" w:cs="Arial"/>
                <w:b/>
                <w:lang w:val="ru-RU"/>
              </w:rPr>
              <w:t>4.</w:t>
            </w:r>
          </w:p>
        </w:tc>
        <w:tc>
          <w:tcPr>
            <w:tcW w:w="1478" w:type="dxa"/>
            <w:shd w:val="clear" w:color="auto" w:fill="auto"/>
          </w:tcPr>
          <w:p w14:paraId="1E6E877C" w14:textId="77777777" w:rsidR="00EF1F01" w:rsidRPr="00857B2E" w:rsidRDefault="00EF1F01" w:rsidP="009C5F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57B2E">
              <w:rPr>
                <w:rFonts w:ascii="Arial" w:hAnsi="Arial" w:cs="Arial"/>
                <w:b/>
                <w:lang w:val="ru-RU"/>
              </w:rPr>
              <w:t>5.</w:t>
            </w:r>
          </w:p>
        </w:tc>
        <w:tc>
          <w:tcPr>
            <w:tcW w:w="1831" w:type="dxa"/>
            <w:shd w:val="clear" w:color="auto" w:fill="auto"/>
          </w:tcPr>
          <w:p w14:paraId="11506C07" w14:textId="77777777" w:rsidR="00EF1F01" w:rsidRPr="00857B2E" w:rsidRDefault="00EF1F01" w:rsidP="009C5F8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57B2E">
              <w:rPr>
                <w:rFonts w:ascii="Arial" w:hAnsi="Arial" w:cs="Arial"/>
                <w:b/>
                <w:lang w:val="ru-RU"/>
              </w:rPr>
              <w:t>6. (3</w:t>
            </w:r>
            <w:r w:rsidRPr="00857B2E">
              <w:rPr>
                <w:rFonts w:ascii="Arial" w:hAnsi="Arial" w:cs="Arial"/>
                <w:b/>
              </w:rPr>
              <w:t>x5</w:t>
            </w:r>
            <w:r w:rsidRPr="00857B2E">
              <w:rPr>
                <w:rFonts w:ascii="Arial" w:hAnsi="Arial" w:cs="Arial"/>
                <w:b/>
                <w:lang w:val="sr-Cyrl-CS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554D0310" w14:textId="77777777" w:rsidR="00EF1F01" w:rsidRPr="00857B2E" w:rsidRDefault="00EF1F01" w:rsidP="009C5F8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57B2E">
              <w:rPr>
                <w:rFonts w:ascii="Arial" w:hAnsi="Arial" w:cs="Arial"/>
                <w:b/>
                <w:lang w:val="ru-RU"/>
              </w:rPr>
              <w:t>7. (4</w:t>
            </w:r>
            <w:r w:rsidRPr="00857B2E">
              <w:rPr>
                <w:rFonts w:ascii="Arial" w:hAnsi="Arial" w:cs="Arial"/>
                <w:b/>
              </w:rPr>
              <w:t>x</w:t>
            </w:r>
            <w:r w:rsidRPr="00857B2E">
              <w:rPr>
                <w:rFonts w:ascii="Arial" w:hAnsi="Arial" w:cs="Arial"/>
                <w:b/>
                <w:lang w:val="sr-Cyrl-CS"/>
              </w:rPr>
              <w:t>5)</w:t>
            </w:r>
          </w:p>
        </w:tc>
      </w:tr>
      <w:tr w:rsidR="00EF1F01" w:rsidRPr="00857B2E" w14:paraId="2A046FE2" w14:textId="77777777" w:rsidTr="00EF1F01">
        <w:tc>
          <w:tcPr>
            <w:tcW w:w="1430" w:type="dxa"/>
            <w:shd w:val="clear" w:color="auto" w:fill="auto"/>
          </w:tcPr>
          <w:p w14:paraId="43EBFF86" w14:textId="77777777" w:rsidR="00EF1F01" w:rsidRPr="00857B2E" w:rsidRDefault="00EF1F01" w:rsidP="009C5F88">
            <w:pPr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857B2E">
              <w:rPr>
                <w:rFonts w:ascii="Arial" w:hAnsi="Arial" w:cs="Arial"/>
                <w:lang w:val="ru-RU"/>
              </w:rPr>
              <w:t>Електрична</w:t>
            </w:r>
            <w:proofErr w:type="spellEnd"/>
            <w:r w:rsidRPr="00857B2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57B2E">
              <w:rPr>
                <w:rFonts w:ascii="Arial" w:hAnsi="Arial" w:cs="Arial"/>
                <w:lang w:val="ru-RU"/>
              </w:rPr>
              <w:t>енергија</w:t>
            </w:r>
            <w:proofErr w:type="spellEnd"/>
            <w:r w:rsidRPr="00857B2E">
              <w:rPr>
                <w:rFonts w:ascii="Arial" w:hAnsi="Arial" w:cs="Arial"/>
                <w:lang w:val="ru-RU"/>
              </w:rPr>
              <w:t xml:space="preserve"> ВТ</w:t>
            </w:r>
          </w:p>
        </w:tc>
        <w:tc>
          <w:tcPr>
            <w:tcW w:w="758" w:type="dxa"/>
            <w:shd w:val="clear" w:color="auto" w:fill="auto"/>
          </w:tcPr>
          <w:p w14:paraId="4FB682C2" w14:textId="77777777" w:rsidR="00EF1F01" w:rsidRPr="00857B2E" w:rsidRDefault="00EF1F01" w:rsidP="009C5F88">
            <w:pPr>
              <w:jc w:val="center"/>
              <w:rPr>
                <w:rFonts w:ascii="Arial" w:hAnsi="Arial" w:cs="Arial"/>
              </w:rPr>
            </w:pPr>
            <w:r w:rsidRPr="00857B2E">
              <w:rPr>
                <w:rFonts w:ascii="Arial" w:hAnsi="Arial" w:cs="Arial"/>
                <w:lang w:val="ru-RU"/>
              </w:rPr>
              <w:t>к</w:t>
            </w:r>
            <w:proofErr w:type="spellStart"/>
            <w:r w:rsidRPr="00857B2E">
              <w:rPr>
                <w:rFonts w:ascii="Arial" w:hAnsi="Arial" w:cs="Arial"/>
              </w:rPr>
              <w:t>Wh</w:t>
            </w:r>
            <w:proofErr w:type="spellEnd"/>
          </w:p>
        </w:tc>
        <w:tc>
          <w:tcPr>
            <w:tcW w:w="1391" w:type="dxa"/>
            <w:shd w:val="clear" w:color="auto" w:fill="auto"/>
          </w:tcPr>
          <w:p w14:paraId="27C32678" w14:textId="77777777" w:rsidR="00EF1F01" w:rsidRPr="00857B2E" w:rsidRDefault="00EF1F01" w:rsidP="009C5F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387" w:type="dxa"/>
            <w:shd w:val="clear" w:color="auto" w:fill="auto"/>
          </w:tcPr>
          <w:p w14:paraId="04A782D8" w14:textId="77777777" w:rsidR="00EF1F01" w:rsidRPr="00857B2E" w:rsidRDefault="00EF1F01" w:rsidP="009C5F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78" w:type="dxa"/>
            <w:shd w:val="clear" w:color="auto" w:fill="auto"/>
          </w:tcPr>
          <w:p w14:paraId="29534341" w14:textId="62CD6F8C" w:rsidR="00EF1F01" w:rsidRPr="00857B2E" w:rsidRDefault="00EF1F01" w:rsidP="009C5F8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40</w:t>
            </w:r>
            <w:r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000</w:t>
            </w:r>
          </w:p>
        </w:tc>
        <w:tc>
          <w:tcPr>
            <w:tcW w:w="1831" w:type="dxa"/>
            <w:shd w:val="clear" w:color="auto" w:fill="auto"/>
          </w:tcPr>
          <w:p w14:paraId="7A47E396" w14:textId="77777777" w:rsidR="00EF1F01" w:rsidRPr="00857B2E" w:rsidRDefault="00EF1F01" w:rsidP="009C5F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14:paraId="32F2DC91" w14:textId="77777777" w:rsidR="00EF1F01" w:rsidRPr="00857B2E" w:rsidRDefault="00EF1F01" w:rsidP="009C5F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F1F01" w:rsidRPr="00857B2E" w14:paraId="4131AF43" w14:textId="77777777" w:rsidTr="00EF1F01">
        <w:tc>
          <w:tcPr>
            <w:tcW w:w="1430" w:type="dxa"/>
            <w:shd w:val="clear" w:color="auto" w:fill="auto"/>
          </w:tcPr>
          <w:p w14:paraId="0744F657" w14:textId="77777777" w:rsidR="00EF1F01" w:rsidRPr="00857B2E" w:rsidRDefault="00EF1F01" w:rsidP="009C5F88">
            <w:pPr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857B2E">
              <w:rPr>
                <w:rFonts w:ascii="Arial" w:hAnsi="Arial" w:cs="Arial"/>
                <w:lang w:val="ru-RU"/>
              </w:rPr>
              <w:t>Електрична</w:t>
            </w:r>
            <w:proofErr w:type="spellEnd"/>
            <w:r w:rsidRPr="00857B2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57B2E">
              <w:rPr>
                <w:rFonts w:ascii="Arial" w:hAnsi="Arial" w:cs="Arial"/>
                <w:lang w:val="ru-RU"/>
              </w:rPr>
              <w:t>енергија</w:t>
            </w:r>
            <w:proofErr w:type="spellEnd"/>
            <w:r w:rsidRPr="00857B2E">
              <w:rPr>
                <w:rFonts w:ascii="Arial" w:hAnsi="Arial" w:cs="Arial"/>
                <w:lang w:val="ru-RU"/>
              </w:rPr>
              <w:t xml:space="preserve"> НТ</w:t>
            </w:r>
          </w:p>
        </w:tc>
        <w:tc>
          <w:tcPr>
            <w:tcW w:w="758" w:type="dxa"/>
            <w:shd w:val="clear" w:color="auto" w:fill="auto"/>
          </w:tcPr>
          <w:p w14:paraId="7BAB14C9" w14:textId="77777777" w:rsidR="00EF1F01" w:rsidRPr="00857B2E" w:rsidRDefault="00EF1F01" w:rsidP="009C5F88">
            <w:pPr>
              <w:jc w:val="center"/>
              <w:rPr>
                <w:rFonts w:ascii="Arial" w:hAnsi="Arial" w:cs="Arial"/>
                <w:lang w:val="ru-RU"/>
              </w:rPr>
            </w:pPr>
            <w:r w:rsidRPr="00857B2E">
              <w:rPr>
                <w:rFonts w:ascii="Arial" w:hAnsi="Arial" w:cs="Arial"/>
                <w:lang w:val="ru-RU"/>
              </w:rPr>
              <w:t>к</w:t>
            </w:r>
            <w:proofErr w:type="spellStart"/>
            <w:r w:rsidRPr="00857B2E">
              <w:rPr>
                <w:rFonts w:ascii="Arial" w:hAnsi="Arial" w:cs="Arial"/>
              </w:rPr>
              <w:t>Wh</w:t>
            </w:r>
            <w:proofErr w:type="spellEnd"/>
          </w:p>
        </w:tc>
        <w:tc>
          <w:tcPr>
            <w:tcW w:w="1391" w:type="dxa"/>
            <w:shd w:val="clear" w:color="auto" w:fill="auto"/>
          </w:tcPr>
          <w:p w14:paraId="6D495129" w14:textId="77777777" w:rsidR="00EF1F01" w:rsidRPr="00857B2E" w:rsidRDefault="00EF1F01" w:rsidP="009C5F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387" w:type="dxa"/>
            <w:shd w:val="clear" w:color="auto" w:fill="auto"/>
          </w:tcPr>
          <w:p w14:paraId="30BB92B3" w14:textId="77777777" w:rsidR="00EF1F01" w:rsidRPr="00857B2E" w:rsidRDefault="00EF1F01" w:rsidP="009C5F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78" w:type="dxa"/>
            <w:shd w:val="clear" w:color="auto" w:fill="auto"/>
          </w:tcPr>
          <w:p w14:paraId="26F799CC" w14:textId="7E3D4511" w:rsidR="00EF1F01" w:rsidRPr="00857B2E" w:rsidRDefault="00EF1F01" w:rsidP="009C5F8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11</w:t>
            </w:r>
            <w:r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000</w:t>
            </w:r>
          </w:p>
        </w:tc>
        <w:tc>
          <w:tcPr>
            <w:tcW w:w="1831" w:type="dxa"/>
            <w:shd w:val="clear" w:color="auto" w:fill="auto"/>
          </w:tcPr>
          <w:p w14:paraId="03D3E681" w14:textId="77777777" w:rsidR="00EF1F01" w:rsidRPr="00857B2E" w:rsidRDefault="00EF1F01" w:rsidP="009C5F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14:paraId="733E8999" w14:textId="77777777" w:rsidR="00EF1F01" w:rsidRPr="00857B2E" w:rsidRDefault="00EF1F01" w:rsidP="009C5F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F1F01" w:rsidRPr="00857B2E" w14:paraId="62FE5C13" w14:textId="77777777" w:rsidTr="00EF1F01">
        <w:tc>
          <w:tcPr>
            <w:tcW w:w="1430" w:type="dxa"/>
            <w:shd w:val="clear" w:color="auto" w:fill="auto"/>
          </w:tcPr>
          <w:p w14:paraId="2A1D80C5" w14:textId="77777777" w:rsidR="00EF1F01" w:rsidRPr="00857B2E" w:rsidRDefault="00EF1F01" w:rsidP="009C5F88">
            <w:pPr>
              <w:jc w:val="center"/>
              <w:rPr>
                <w:rFonts w:ascii="Arial" w:hAnsi="Arial" w:cs="Arial"/>
                <w:lang w:val="sr-Cyrl-RS"/>
              </w:rPr>
            </w:pPr>
            <w:r w:rsidRPr="00857B2E">
              <w:rPr>
                <w:rFonts w:ascii="Arial" w:hAnsi="Arial" w:cs="Arial"/>
                <w:lang w:val="sr-Cyrl-RS"/>
              </w:rPr>
              <w:t>Електрична енергија ЈТ</w:t>
            </w:r>
          </w:p>
        </w:tc>
        <w:tc>
          <w:tcPr>
            <w:tcW w:w="758" w:type="dxa"/>
            <w:shd w:val="clear" w:color="auto" w:fill="auto"/>
          </w:tcPr>
          <w:p w14:paraId="48E1E0D4" w14:textId="77777777" w:rsidR="00EF1F01" w:rsidRPr="00857B2E" w:rsidRDefault="00EF1F01" w:rsidP="009C5F88">
            <w:pPr>
              <w:jc w:val="center"/>
              <w:rPr>
                <w:rFonts w:ascii="Arial" w:hAnsi="Arial" w:cs="Arial"/>
                <w:lang w:val="ru-RU"/>
              </w:rPr>
            </w:pPr>
            <w:r w:rsidRPr="00857B2E">
              <w:rPr>
                <w:rFonts w:ascii="Arial" w:hAnsi="Arial" w:cs="Arial"/>
                <w:lang w:val="ru-RU"/>
              </w:rPr>
              <w:t>к</w:t>
            </w:r>
            <w:proofErr w:type="spellStart"/>
            <w:r w:rsidRPr="00857B2E">
              <w:rPr>
                <w:rFonts w:ascii="Arial" w:hAnsi="Arial" w:cs="Arial"/>
              </w:rPr>
              <w:t>Wh</w:t>
            </w:r>
            <w:proofErr w:type="spellEnd"/>
          </w:p>
        </w:tc>
        <w:tc>
          <w:tcPr>
            <w:tcW w:w="1391" w:type="dxa"/>
            <w:shd w:val="clear" w:color="auto" w:fill="auto"/>
          </w:tcPr>
          <w:p w14:paraId="1C7B0800" w14:textId="77777777" w:rsidR="00EF1F01" w:rsidRPr="00857B2E" w:rsidRDefault="00EF1F01" w:rsidP="009C5F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387" w:type="dxa"/>
            <w:shd w:val="clear" w:color="auto" w:fill="auto"/>
          </w:tcPr>
          <w:p w14:paraId="36EE9974" w14:textId="77777777" w:rsidR="00EF1F01" w:rsidRPr="00857B2E" w:rsidRDefault="00EF1F01" w:rsidP="009C5F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78" w:type="dxa"/>
            <w:shd w:val="clear" w:color="auto" w:fill="auto"/>
          </w:tcPr>
          <w:p w14:paraId="7A81CC7B" w14:textId="0F8FA879" w:rsidR="00EF1F01" w:rsidRPr="00857B2E" w:rsidRDefault="00EF1F01" w:rsidP="009C5F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5</w:t>
            </w:r>
            <w:r>
              <w:rPr>
                <w:rFonts w:ascii="Arial" w:hAnsi="Arial" w:cs="Arial"/>
                <w:b/>
                <w:lang w:val="ru-RU"/>
              </w:rPr>
              <w:t>.</w:t>
            </w:r>
            <w:r>
              <w:rPr>
                <w:rFonts w:ascii="Arial" w:hAnsi="Arial" w:cs="Arial"/>
                <w:b/>
                <w:lang w:val="ru-RU"/>
              </w:rPr>
              <w:t>000</w:t>
            </w:r>
          </w:p>
        </w:tc>
        <w:tc>
          <w:tcPr>
            <w:tcW w:w="1831" w:type="dxa"/>
            <w:shd w:val="clear" w:color="auto" w:fill="auto"/>
          </w:tcPr>
          <w:p w14:paraId="608E869D" w14:textId="77777777" w:rsidR="00EF1F01" w:rsidRPr="00857B2E" w:rsidRDefault="00EF1F01" w:rsidP="009C5F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14:paraId="56CF1FA8" w14:textId="77777777" w:rsidR="00EF1F01" w:rsidRPr="00857B2E" w:rsidRDefault="00EF1F01" w:rsidP="009C5F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F1F01" w:rsidRPr="00857B2E" w14:paraId="14A159EA" w14:textId="77777777" w:rsidTr="00EF1F01">
        <w:tc>
          <w:tcPr>
            <w:tcW w:w="1430" w:type="dxa"/>
            <w:shd w:val="clear" w:color="auto" w:fill="auto"/>
          </w:tcPr>
          <w:p w14:paraId="531F4242" w14:textId="77777777" w:rsidR="00EF1F01" w:rsidRPr="00857B2E" w:rsidRDefault="00EF1F01" w:rsidP="009C5F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57B2E">
              <w:rPr>
                <w:rFonts w:ascii="Arial" w:hAnsi="Arial" w:cs="Arial"/>
                <w:b/>
                <w:lang w:val="ru-RU"/>
              </w:rPr>
              <w:t>УКУПНО</w:t>
            </w:r>
          </w:p>
        </w:tc>
        <w:tc>
          <w:tcPr>
            <w:tcW w:w="758" w:type="dxa"/>
            <w:shd w:val="clear" w:color="auto" w:fill="auto"/>
          </w:tcPr>
          <w:p w14:paraId="713DB364" w14:textId="77777777" w:rsidR="00EF1F01" w:rsidRPr="00857B2E" w:rsidRDefault="00EF1F01" w:rsidP="009C5F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391" w:type="dxa"/>
            <w:shd w:val="clear" w:color="auto" w:fill="auto"/>
          </w:tcPr>
          <w:p w14:paraId="6718063A" w14:textId="77777777" w:rsidR="00EF1F01" w:rsidRPr="00857B2E" w:rsidRDefault="00EF1F01" w:rsidP="009C5F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387" w:type="dxa"/>
            <w:shd w:val="clear" w:color="auto" w:fill="auto"/>
          </w:tcPr>
          <w:p w14:paraId="1FB3C580" w14:textId="77777777" w:rsidR="00EF1F01" w:rsidRPr="00857B2E" w:rsidRDefault="00EF1F01" w:rsidP="009C5F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78" w:type="dxa"/>
            <w:shd w:val="clear" w:color="auto" w:fill="auto"/>
          </w:tcPr>
          <w:p w14:paraId="4EAC7E97" w14:textId="153ED0D9" w:rsidR="00EF1F01" w:rsidRPr="00857B2E" w:rsidRDefault="00EF1F01" w:rsidP="009C5F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56</w:t>
            </w:r>
            <w:r>
              <w:rPr>
                <w:rFonts w:ascii="Arial" w:hAnsi="Arial" w:cs="Arial"/>
                <w:b/>
                <w:lang w:val="ru-RU"/>
              </w:rPr>
              <w:t>.</w:t>
            </w:r>
            <w:r>
              <w:rPr>
                <w:rFonts w:ascii="Arial" w:hAnsi="Arial" w:cs="Arial"/>
                <w:b/>
                <w:lang w:val="ru-RU"/>
              </w:rPr>
              <w:t>000</w:t>
            </w:r>
          </w:p>
        </w:tc>
        <w:tc>
          <w:tcPr>
            <w:tcW w:w="1831" w:type="dxa"/>
            <w:shd w:val="clear" w:color="auto" w:fill="auto"/>
          </w:tcPr>
          <w:p w14:paraId="4A813E72" w14:textId="77777777" w:rsidR="00EF1F01" w:rsidRPr="00857B2E" w:rsidRDefault="00EF1F01" w:rsidP="009C5F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14:paraId="5B458237" w14:textId="77777777" w:rsidR="00EF1F01" w:rsidRPr="00857B2E" w:rsidRDefault="00EF1F01" w:rsidP="009C5F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14:paraId="06D2EF7F" w14:textId="77777777" w:rsidR="009F1724" w:rsidRPr="00801F0A" w:rsidRDefault="009F1724" w:rsidP="009F1724">
      <w:pPr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653A997A" w14:textId="77777777" w:rsidR="009F1724" w:rsidRPr="00B50E9C" w:rsidRDefault="009F1724" w:rsidP="009F172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/>
          <w:b/>
          <w:bCs/>
          <w:i/>
          <w:sz w:val="24"/>
          <w:szCs w:val="24"/>
        </w:rPr>
      </w:pPr>
      <w:proofErr w:type="spellStart"/>
      <w:r w:rsidRPr="00B50E9C">
        <w:rPr>
          <w:rFonts w:ascii="Times New Roman" w:eastAsia="Times New Roman" w:hAnsi="Times New Roman"/>
          <w:b/>
          <w:bCs/>
          <w:i/>
          <w:sz w:val="24"/>
          <w:szCs w:val="24"/>
        </w:rPr>
        <w:t>Упутство</w:t>
      </w:r>
      <w:proofErr w:type="spellEnd"/>
      <w:r w:rsidRPr="00B50E9C">
        <w:rPr>
          <w:rFonts w:ascii="Times New Roman" w:eastAsia="Times New Roman" w:hAnsi="Times New Roman"/>
          <w:b/>
          <w:bCs/>
          <w:i/>
          <w:sz w:val="24"/>
          <w:szCs w:val="24"/>
          <w:lang w:val="sr-Cyrl-RS"/>
        </w:rPr>
        <w:t xml:space="preserve"> о попуњавању обрасца</w:t>
      </w:r>
      <w:r w:rsidRPr="00B50E9C">
        <w:rPr>
          <w:rFonts w:ascii="Times New Roman" w:eastAsia="Times New Roman" w:hAnsi="Times New Roman"/>
          <w:b/>
          <w:bCs/>
          <w:i/>
          <w:sz w:val="24"/>
          <w:szCs w:val="24"/>
        </w:rPr>
        <w:t>:</w:t>
      </w:r>
    </w:p>
    <w:p w14:paraId="141EBBF5" w14:textId="77777777" w:rsidR="009F1724" w:rsidRPr="00B50E9C" w:rsidRDefault="009F1724" w:rsidP="009F1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sr-Cyrl-CS"/>
        </w:rPr>
      </w:pPr>
    </w:p>
    <w:p w14:paraId="7A1D6949" w14:textId="77777777" w:rsidR="009F1724" w:rsidRPr="00B50E9C" w:rsidRDefault="009F1724" w:rsidP="009F1724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eastAsia="Times New Roman" w:hAnsi="Times New Roman"/>
          <w:i/>
          <w:sz w:val="24"/>
          <w:szCs w:val="24"/>
        </w:rPr>
      </w:pPr>
    </w:p>
    <w:p w14:paraId="555D1A11" w14:textId="77777777" w:rsidR="009F1724" w:rsidRPr="00B50E9C" w:rsidRDefault="009F1724" w:rsidP="009F1724">
      <w:pPr>
        <w:widowControl w:val="0"/>
        <w:numPr>
          <w:ilvl w:val="0"/>
          <w:numId w:val="1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5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B50E9C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У колони </w:t>
      </w:r>
      <w:r w:rsidRPr="00B50E9C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3 </w:t>
      </w:r>
      <w:r w:rsidRPr="00B50E9C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- уписати јединичну цену без ПДВ- а; </w:t>
      </w:r>
    </w:p>
    <w:p w14:paraId="6FBDE473" w14:textId="77777777" w:rsidR="009F1724" w:rsidRPr="00B50E9C" w:rsidRDefault="009F1724" w:rsidP="009F1724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eastAsia="Times New Roman" w:hAnsi="Times New Roman"/>
          <w:i/>
          <w:sz w:val="24"/>
          <w:szCs w:val="24"/>
          <w:lang w:val="ru-RU"/>
        </w:rPr>
      </w:pPr>
    </w:p>
    <w:p w14:paraId="62F20DA8" w14:textId="0BEDBE24" w:rsidR="009F1724" w:rsidRPr="00B50E9C" w:rsidRDefault="009F1724" w:rsidP="009F1724">
      <w:pPr>
        <w:widowControl w:val="0"/>
        <w:numPr>
          <w:ilvl w:val="0"/>
          <w:numId w:val="1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5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B50E9C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У колони </w:t>
      </w:r>
      <w:r w:rsidRPr="00B50E9C">
        <w:rPr>
          <w:rFonts w:ascii="Times New Roman" w:eastAsia="Times New Roman" w:hAnsi="Times New Roman"/>
          <w:i/>
          <w:sz w:val="24"/>
          <w:szCs w:val="24"/>
          <w:lang w:val="sr-Cyrl-RS"/>
        </w:rPr>
        <w:t>4</w:t>
      </w:r>
      <w:r w:rsidRPr="00B50E9C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- </w:t>
      </w:r>
      <w:proofErr w:type="spellStart"/>
      <w:r w:rsidRPr="00B50E9C">
        <w:rPr>
          <w:rFonts w:ascii="Times New Roman" w:eastAsia="Times New Roman" w:hAnsi="Times New Roman"/>
          <w:i/>
          <w:sz w:val="24"/>
          <w:szCs w:val="24"/>
          <w:lang w:val="ru-RU"/>
        </w:rPr>
        <w:t>уписати</w:t>
      </w:r>
      <w:proofErr w:type="spellEnd"/>
      <w:r w:rsidRPr="00B50E9C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r w:rsidRPr="00B50E9C">
        <w:rPr>
          <w:rFonts w:ascii="Times New Roman" w:eastAsia="Times New Roman" w:hAnsi="Times New Roman"/>
          <w:i/>
          <w:sz w:val="24"/>
          <w:szCs w:val="24"/>
          <w:lang w:val="sr-Cyrl-RS"/>
        </w:rPr>
        <w:t>укупну</w:t>
      </w:r>
      <w:r w:rsidRPr="00B50E9C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цену </w:t>
      </w:r>
      <w:r w:rsidR="00EF1F01">
        <w:rPr>
          <w:rFonts w:ascii="Times New Roman" w:eastAsia="Times New Roman" w:hAnsi="Times New Roman"/>
          <w:i/>
          <w:sz w:val="24"/>
          <w:szCs w:val="24"/>
          <w:lang w:val="sr-Cyrl-RS"/>
        </w:rPr>
        <w:t>са</w:t>
      </w:r>
      <w:r w:rsidRPr="00B50E9C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ПДВ-</w:t>
      </w:r>
      <w:r w:rsidR="00EF1F01">
        <w:rPr>
          <w:rFonts w:ascii="Times New Roman" w:eastAsia="Times New Roman" w:hAnsi="Times New Roman"/>
          <w:i/>
          <w:sz w:val="24"/>
          <w:szCs w:val="24"/>
          <w:lang w:val="ru-RU"/>
        </w:rPr>
        <w:t>ом</w:t>
      </w:r>
      <w:r w:rsidRPr="00B50E9C">
        <w:rPr>
          <w:rFonts w:ascii="Times New Roman" w:eastAsia="Times New Roman" w:hAnsi="Times New Roman"/>
          <w:i/>
          <w:sz w:val="24"/>
          <w:szCs w:val="24"/>
          <w:lang w:val="sr-Cyrl-RS"/>
        </w:rPr>
        <w:t>, за процењене количине;</w:t>
      </w:r>
    </w:p>
    <w:p w14:paraId="7B02C5DC" w14:textId="77777777" w:rsidR="009F1724" w:rsidRPr="00B50E9C" w:rsidRDefault="009F1724" w:rsidP="009F172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/>
          <w:i/>
          <w:sz w:val="24"/>
          <w:szCs w:val="24"/>
          <w:lang w:val="ru-RU"/>
        </w:rPr>
      </w:pPr>
    </w:p>
    <w:p w14:paraId="346D9557" w14:textId="1AB9A601" w:rsidR="009F1724" w:rsidRPr="00B50E9C" w:rsidRDefault="009F1724" w:rsidP="009F1724">
      <w:pPr>
        <w:widowControl w:val="0"/>
        <w:numPr>
          <w:ilvl w:val="0"/>
          <w:numId w:val="1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5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B50E9C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У колони </w:t>
      </w:r>
      <w:r w:rsidRPr="00B50E9C">
        <w:rPr>
          <w:rFonts w:ascii="Times New Roman" w:eastAsia="Times New Roman" w:hAnsi="Times New Roman"/>
          <w:i/>
          <w:sz w:val="24"/>
          <w:szCs w:val="24"/>
          <w:lang w:val="sr-Cyrl-RS"/>
        </w:rPr>
        <w:t>5</w:t>
      </w:r>
      <w:r w:rsidRPr="00B50E9C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r w:rsidR="00EF1F01">
        <w:rPr>
          <w:rFonts w:ascii="Times New Roman" w:eastAsia="Times New Roman" w:hAnsi="Times New Roman"/>
          <w:i/>
          <w:sz w:val="24"/>
          <w:szCs w:val="24"/>
          <w:lang w:val="ru-RU"/>
        </w:rPr>
        <w:t>–</w:t>
      </w:r>
      <w:r w:rsidRPr="00B50E9C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EF1F01">
        <w:rPr>
          <w:rFonts w:ascii="Times New Roman" w:eastAsia="Times New Roman" w:hAnsi="Times New Roman"/>
          <w:i/>
          <w:sz w:val="24"/>
          <w:szCs w:val="24"/>
          <w:lang w:val="ru-RU"/>
        </w:rPr>
        <w:t>процењене</w:t>
      </w:r>
      <w:proofErr w:type="spellEnd"/>
      <w:r w:rsidR="00EF1F01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EF1F01">
        <w:rPr>
          <w:rFonts w:ascii="Times New Roman" w:eastAsia="Times New Roman" w:hAnsi="Times New Roman"/>
          <w:i/>
          <w:sz w:val="24"/>
          <w:szCs w:val="24"/>
          <w:lang w:val="ru-RU"/>
        </w:rPr>
        <w:t>количине</w:t>
      </w:r>
      <w:proofErr w:type="spellEnd"/>
      <w:r w:rsidR="00EF1F01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за 12 </w:t>
      </w:r>
      <w:proofErr w:type="spellStart"/>
      <w:r w:rsidR="00EF1F01">
        <w:rPr>
          <w:rFonts w:ascii="Times New Roman" w:eastAsia="Times New Roman" w:hAnsi="Times New Roman"/>
          <w:i/>
          <w:sz w:val="24"/>
          <w:szCs w:val="24"/>
          <w:lang w:val="ru-RU"/>
        </w:rPr>
        <w:t>месеци</w:t>
      </w:r>
      <w:proofErr w:type="spellEnd"/>
      <w:r w:rsidRPr="00B50E9C">
        <w:rPr>
          <w:rFonts w:ascii="Times New Roman" w:eastAsia="Times New Roman" w:hAnsi="Times New Roman"/>
          <w:i/>
          <w:sz w:val="24"/>
          <w:szCs w:val="24"/>
          <w:lang w:val="sr-Cyrl-RS"/>
        </w:rPr>
        <w:t>;</w:t>
      </w:r>
      <w:r w:rsidRPr="00B50E9C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</w:p>
    <w:p w14:paraId="6B06ED5D" w14:textId="77777777" w:rsidR="009F1724" w:rsidRPr="00B50E9C" w:rsidRDefault="009F1724" w:rsidP="009F172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/>
          <w:i/>
          <w:sz w:val="24"/>
          <w:szCs w:val="24"/>
          <w:lang w:val="ru-RU"/>
        </w:rPr>
      </w:pPr>
    </w:p>
    <w:p w14:paraId="16CE011D" w14:textId="62467E76" w:rsidR="00EF1F01" w:rsidRPr="00EF1F01" w:rsidRDefault="009F1724" w:rsidP="00EF1F01">
      <w:pPr>
        <w:widowControl w:val="0"/>
        <w:numPr>
          <w:ilvl w:val="0"/>
          <w:numId w:val="1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5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B50E9C">
        <w:rPr>
          <w:rFonts w:ascii="Times New Roman" w:eastAsia="Times New Roman" w:hAnsi="Times New Roman"/>
          <w:i/>
          <w:sz w:val="24"/>
          <w:szCs w:val="24"/>
          <w:lang w:val="ru-RU"/>
        </w:rPr>
        <w:t>У колони</w:t>
      </w:r>
      <w:r w:rsidRPr="00B50E9C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6</w:t>
      </w:r>
      <w:r w:rsidRPr="00B50E9C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- уписати </w:t>
      </w:r>
      <w:proofErr w:type="spellStart"/>
      <w:r w:rsidRPr="00B50E9C">
        <w:rPr>
          <w:rFonts w:ascii="Times New Roman" w:eastAsia="Times New Roman" w:hAnsi="Times New Roman"/>
          <w:i/>
          <w:sz w:val="24"/>
          <w:szCs w:val="24"/>
          <w:lang w:val="ru-RU"/>
        </w:rPr>
        <w:t>укупну</w:t>
      </w:r>
      <w:proofErr w:type="spellEnd"/>
      <w:r w:rsidRPr="00B50E9C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цену </w:t>
      </w:r>
      <w:r w:rsidR="00EF1F01">
        <w:rPr>
          <w:rFonts w:ascii="Times New Roman" w:eastAsia="Times New Roman" w:hAnsi="Times New Roman"/>
          <w:i/>
          <w:sz w:val="24"/>
          <w:szCs w:val="24"/>
          <w:lang w:val="ru-RU"/>
        </w:rPr>
        <w:t>без</w:t>
      </w:r>
      <w:r w:rsidRPr="00B50E9C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ПДВ-</w:t>
      </w:r>
      <w:r w:rsidR="00EF1F01">
        <w:rPr>
          <w:rFonts w:ascii="Times New Roman" w:eastAsia="Times New Roman" w:hAnsi="Times New Roman"/>
          <w:i/>
          <w:sz w:val="24"/>
          <w:szCs w:val="24"/>
          <w:lang w:val="ru-RU"/>
        </w:rPr>
        <w:t>а</w:t>
      </w:r>
      <w:r w:rsidRPr="00B50E9C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, за </w:t>
      </w:r>
      <w:proofErr w:type="spellStart"/>
      <w:r w:rsidRPr="00B50E9C">
        <w:rPr>
          <w:rFonts w:ascii="Times New Roman" w:eastAsia="Times New Roman" w:hAnsi="Times New Roman"/>
          <w:i/>
          <w:sz w:val="24"/>
          <w:szCs w:val="24"/>
          <w:lang w:val="ru-RU"/>
        </w:rPr>
        <w:t>процењене</w:t>
      </w:r>
      <w:proofErr w:type="spellEnd"/>
      <w:r w:rsidRPr="00B50E9C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B50E9C">
        <w:rPr>
          <w:rFonts w:ascii="Times New Roman" w:eastAsia="Times New Roman" w:hAnsi="Times New Roman"/>
          <w:i/>
          <w:sz w:val="24"/>
          <w:szCs w:val="24"/>
          <w:lang w:val="ru-RU"/>
        </w:rPr>
        <w:t>количине</w:t>
      </w:r>
      <w:proofErr w:type="spellEnd"/>
      <w:r w:rsidRPr="00B50E9C">
        <w:rPr>
          <w:rFonts w:ascii="Times New Roman" w:eastAsia="Times New Roman" w:hAnsi="Times New Roman"/>
          <w:i/>
          <w:sz w:val="24"/>
          <w:szCs w:val="24"/>
          <w:lang w:val="ru-RU"/>
        </w:rPr>
        <w:t>,</w:t>
      </w:r>
    </w:p>
    <w:p w14:paraId="649476C0" w14:textId="6B68D08B" w:rsidR="00EF1F01" w:rsidRDefault="00EF1F01" w:rsidP="009F1724">
      <w:pPr>
        <w:widowControl w:val="0"/>
        <w:numPr>
          <w:ilvl w:val="0"/>
          <w:numId w:val="1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5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B50E9C">
        <w:rPr>
          <w:rFonts w:ascii="Times New Roman" w:eastAsia="Times New Roman" w:hAnsi="Times New Roman"/>
          <w:i/>
          <w:sz w:val="24"/>
          <w:szCs w:val="24"/>
          <w:lang w:val="ru-RU"/>
        </w:rPr>
        <w:t>У колони</w:t>
      </w:r>
      <w:r w:rsidRPr="00B50E9C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sr-Cyrl-RS"/>
        </w:rPr>
        <w:t>7</w:t>
      </w:r>
      <w:r w:rsidRPr="00B50E9C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- </w:t>
      </w:r>
      <w:proofErr w:type="spellStart"/>
      <w:r w:rsidRPr="00B50E9C">
        <w:rPr>
          <w:rFonts w:ascii="Times New Roman" w:eastAsia="Times New Roman" w:hAnsi="Times New Roman"/>
          <w:i/>
          <w:sz w:val="24"/>
          <w:szCs w:val="24"/>
          <w:lang w:val="ru-RU"/>
        </w:rPr>
        <w:t>уписати</w:t>
      </w:r>
      <w:proofErr w:type="spellEnd"/>
      <w:r w:rsidRPr="00B50E9C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B50E9C">
        <w:rPr>
          <w:rFonts w:ascii="Times New Roman" w:eastAsia="Times New Roman" w:hAnsi="Times New Roman"/>
          <w:i/>
          <w:sz w:val="24"/>
          <w:szCs w:val="24"/>
          <w:lang w:val="ru-RU"/>
        </w:rPr>
        <w:t>укупну</w:t>
      </w:r>
      <w:proofErr w:type="spellEnd"/>
      <w:r w:rsidRPr="00B50E9C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цену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ru-RU"/>
        </w:rPr>
        <w:t>са</w:t>
      </w:r>
      <w:proofErr w:type="spellEnd"/>
      <w:r w:rsidRPr="00B50E9C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ПДВ-ом, за </w:t>
      </w:r>
      <w:proofErr w:type="spellStart"/>
      <w:r w:rsidRPr="00B50E9C">
        <w:rPr>
          <w:rFonts w:ascii="Times New Roman" w:eastAsia="Times New Roman" w:hAnsi="Times New Roman"/>
          <w:i/>
          <w:sz w:val="24"/>
          <w:szCs w:val="24"/>
          <w:lang w:val="ru-RU"/>
        </w:rPr>
        <w:t>процењене</w:t>
      </w:r>
      <w:proofErr w:type="spellEnd"/>
      <w:r w:rsidRPr="00B50E9C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B50E9C">
        <w:rPr>
          <w:rFonts w:ascii="Times New Roman" w:eastAsia="Times New Roman" w:hAnsi="Times New Roman"/>
          <w:i/>
          <w:sz w:val="24"/>
          <w:szCs w:val="24"/>
          <w:lang w:val="ru-RU"/>
        </w:rPr>
        <w:t>количине</w:t>
      </w:r>
      <w:proofErr w:type="spellEnd"/>
    </w:p>
    <w:p w14:paraId="6AF5CE34" w14:textId="73200EE5" w:rsidR="009F1724" w:rsidRPr="00B50E9C" w:rsidRDefault="009F1724" w:rsidP="009F1724">
      <w:pPr>
        <w:widowControl w:val="0"/>
        <w:numPr>
          <w:ilvl w:val="0"/>
          <w:numId w:val="1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5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B50E9C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У </w:t>
      </w:r>
      <w:proofErr w:type="spellStart"/>
      <w:r w:rsidRPr="00B50E9C">
        <w:rPr>
          <w:rFonts w:ascii="Times New Roman" w:eastAsia="Times New Roman" w:hAnsi="Times New Roman"/>
          <w:i/>
          <w:sz w:val="24"/>
          <w:szCs w:val="24"/>
          <w:lang w:val="ru-RU"/>
        </w:rPr>
        <w:t>ред</w:t>
      </w:r>
      <w:proofErr w:type="spellEnd"/>
      <w:r w:rsidRPr="00B50E9C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УКУПНО </w:t>
      </w:r>
      <w:proofErr w:type="spellStart"/>
      <w:r w:rsidRPr="00B50E9C">
        <w:rPr>
          <w:rFonts w:ascii="Times New Roman" w:eastAsia="Times New Roman" w:hAnsi="Times New Roman"/>
          <w:i/>
          <w:sz w:val="24"/>
          <w:szCs w:val="24"/>
          <w:lang w:val="ru-RU"/>
        </w:rPr>
        <w:t>сабрати</w:t>
      </w:r>
      <w:proofErr w:type="spellEnd"/>
      <w:r w:rsidRPr="00B50E9C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колоне </w:t>
      </w:r>
      <w:r w:rsidR="00EF1F01">
        <w:rPr>
          <w:rFonts w:ascii="Times New Roman" w:eastAsia="Times New Roman" w:hAnsi="Times New Roman"/>
          <w:i/>
          <w:sz w:val="24"/>
          <w:szCs w:val="24"/>
          <w:lang w:val="ru-RU"/>
        </w:rPr>
        <w:t>6</w:t>
      </w:r>
      <w:r w:rsidRPr="00B50E9C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и </w:t>
      </w:r>
      <w:r w:rsidR="00EF1F01">
        <w:rPr>
          <w:rFonts w:ascii="Times New Roman" w:eastAsia="Times New Roman" w:hAnsi="Times New Roman"/>
          <w:i/>
          <w:sz w:val="24"/>
          <w:szCs w:val="24"/>
          <w:lang w:val="ru-RU"/>
        </w:rPr>
        <w:t>7</w:t>
      </w:r>
      <w:r w:rsidRPr="00B50E9C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. </w:t>
      </w:r>
    </w:p>
    <w:p w14:paraId="72F4A31D" w14:textId="77777777" w:rsidR="009F1724" w:rsidRPr="00B50E9C" w:rsidRDefault="009F1724" w:rsidP="009F17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</w:p>
    <w:p w14:paraId="2E22840D" w14:textId="77777777" w:rsidR="009F1724" w:rsidRPr="00B50E9C" w:rsidRDefault="009F1724" w:rsidP="009F1724">
      <w:pPr>
        <w:jc w:val="both"/>
        <w:rPr>
          <w:rFonts w:ascii="Times New Roman" w:eastAsia="Times New Roman" w:hAnsi="Times New Roman"/>
          <w:iCs/>
          <w:sz w:val="24"/>
          <w:szCs w:val="24"/>
          <w:lang w:val="sr-Cyrl-CS"/>
        </w:rPr>
      </w:pPr>
      <w:r w:rsidRPr="00B50E9C">
        <w:rPr>
          <w:rFonts w:ascii="Times New Roman" w:eastAsia="Times New Roman" w:hAnsi="Times New Roman"/>
          <w:iCs/>
          <w:sz w:val="24"/>
          <w:szCs w:val="24"/>
          <w:lang w:val="sr-Cyrl-CS"/>
        </w:rPr>
        <w:t xml:space="preserve">Цена из реда УКУПНО, која је дата за процењене количине, користиће се </w:t>
      </w:r>
      <w:r w:rsidRPr="00B50E9C">
        <w:rPr>
          <w:rFonts w:ascii="Times New Roman" w:eastAsia="Times New Roman" w:hAnsi="Times New Roman"/>
          <w:iCs/>
          <w:sz w:val="24"/>
          <w:szCs w:val="24"/>
          <w:lang w:val="sr-Cyrl-RS"/>
        </w:rPr>
        <w:t xml:space="preserve">за </w:t>
      </w:r>
      <w:r w:rsidRPr="00B50E9C">
        <w:rPr>
          <w:rFonts w:ascii="Times New Roman" w:eastAsia="Times New Roman" w:hAnsi="Times New Roman"/>
          <w:iCs/>
          <w:sz w:val="24"/>
          <w:szCs w:val="24"/>
          <w:lang w:val="sr-Cyrl-CS"/>
        </w:rPr>
        <w:t>рангирање понуда. Стварне количине ограничене су износом процењене вредности за предметну набавку. Уговор ће се закључити до износа процењене вредности, у коју су укључени: цена електричнe енергије, трошак балансирања, акцизе за утрошену електричну енергију, трошкови услуге приступа и коришћење система за дистрибуцију електричне енергије и трошкови накнаде за подстицај повлашћених произвођача, као и сви други зависни трошкови.</w:t>
      </w:r>
    </w:p>
    <w:p w14:paraId="7D30AB94" w14:textId="77777777" w:rsidR="009F1724" w:rsidRPr="00B50E9C" w:rsidRDefault="009F1724" w:rsidP="009F1724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iCs/>
          <w:sz w:val="24"/>
          <w:szCs w:val="24"/>
          <w:lang w:val="sr-Latn-RS"/>
        </w:rPr>
      </w:pPr>
      <w:r w:rsidRPr="00B50E9C">
        <w:rPr>
          <w:rFonts w:ascii="Times New Roman" w:eastAsia="Times New Roman" w:hAnsi="Times New Roman"/>
          <w:b/>
          <w:iCs/>
          <w:sz w:val="24"/>
          <w:szCs w:val="24"/>
          <w:lang w:val="sr-Cyrl-CS"/>
        </w:rPr>
        <w:t xml:space="preserve">Трошкови приступа систему за дистрибуцију електричне енергије: </w:t>
      </w:r>
      <w:r w:rsidRPr="00B50E9C">
        <w:rPr>
          <w:rFonts w:ascii="Times New Roman" w:eastAsia="Times New Roman" w:hAnsi="Times New Roman"/>
          <w:iCs/>
          <w:sz w:val="24"/>
          <w:szCs w:val="24"/>
          <w:lang w:val="sr-Cyrl-CS"/>
        </w:rPr>
        <w:t>Према важећ</w:t>
      </w:r>
      <w:r w:rsidRPr="00B50E9C">
        <w:rPr>
          <w:rFonts w:ascii="Times New Roman" w:eastAsia="Times New Roman" w:hAnsi="Times New Roman"/>
          <w:iCs/>
          <w:sz w:val="24"/>
          <w:szCs w:val="24"/>
          <w:lang w:val="sr-Cyrl-RS"/>
        </w:rPr>
        <w:t>и</w:t>
      </w:r>
      <w:r w:rsidRPr="00B50E9C">
        <w:rPr>
          <w:rFonts w:ascii="Times New Roman" w:eastAsia="Times New Roman" w:hAnsi="Times New Roman"/>
          <w:iCs/>
          <w:sz w:val="24"/>
          <w:szCs w:val="24"/>
          <w:lang w:val="sr-Cyrl-CS"/>
        </w:rPr>
        <w:t xml:space="preserve">м Одлукама о цени приступа систему за дистрибуцију електричне енергије (у периоду обрачуна), на дистрибутивном подручју Привредног друштва за дистрибуцију електричне енергије, а на које је прибављена сагласност </w:t>
      </w:r>
      <w:r w:rsidRPr="00B50E9C">
        <w:rPr>
          <w:rFonts w:ascii="Times New Roman" w:eastAsia="Times New Roman" w:hAnsi="Times New Roman"/>
          <w:iCs/>
          <w:sz w:val="24"/>
          <w:szCs w:val="24"/>
          <w:lang w:val="sr-Cyrl-CS"/>
        </w:rPr>
        <w:lastRenderedPageBreak/>
        <w:t>Агенције за енергетику Републике Србије и које су објављене у Службеном гласнику Републике Србије</w:t>
      </w:r>
      <w:r w:rsidRPr="00B50E9C">
        <w:rPr>
          <w:rFonts w:ascii="Times New Roman" w:eastAsia="Times New Roman" w:hAnsi="Times New Roman"/>
          <w:iCs/>
          <w:sz w:val="24"/>
          <w:szCs w:val="24"/>
          <w:lang w:val="sr-Latn-RS"/>
        </w:rPr>
        <w:t>;</w:t>
      </w:r>
    </w:p>
    <w:p w14:paraId="4F334A32" w14:textId="77777777" w:rsidR="009F1724" w:rsidRPr="00B50E9C" w:rsidRDefault="009F1724" w:rsidP="009F1724">
      <w:pPr>
        <w:suppressAutoHyphens/>
        <w:spacing w:after="0" w:line="100" w:lineRule="atLeast"/>
        <w:jc w:val="both"/>
        <w:rPr>
          <w:rFonts w:ascii="Times New Roman" w:eastAsia="Times New Roman" w:hAnsi="Times New Roman"/>
          <w:iCs/>
          <w:sz w:val="24"/>
          <w:szCs w:val="24"/>
          <w:lang w:val="sr-Cyrl-RS"/>
        </w:rPr>
      </w:pPr>
    </w:p>
    <w:p w14:paraId="7DB23CB2" w14:textId="77777777" w:rsidR="009F1724" w:rsidRPr="00B50E9C" w:rsidRDefault="009F1724" w:rsidP="009F1724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iCs/>
          <w:sz w:val="24"/>
          <w:szCs w:val="24"/>
          <w:lang w:val="sr-Cyrl-RS"/>
        </w:rPr>
      </w:pPr>
      <w:r w:rsidRPr="00B50E9C">
        <w:rPr>
          <w:rFonts w:ascii="Times New Roman" w:eastAsia="Times New Roman" w:hAnsi="Times New Roman"/>
          <w:b/>
          <w:iCs/>
          <w:sz w:val="24"/>
          <w:szCs w:val="24"/>
          <w:lang w:val="sr-Cyrl-CS"/>
        </w:rPr>
        <w:t xml:space="preserve">Трошкови накнаде за подстицај повлашћених произвођача електричне енергије: </w:t>
      </w:r>
      <w:r w:rsidRPr="00B50E9C">
        <w:rPr>
          <w:rFonts w:ascii="Times New Roman" w:eastAsia="Times New Roman" w:hAnsi="Times New Roman"/>
          <w:iCs/>
          <w:sz w:val="24"/>
          <w:szCs w:val="24"/>
          <w:lang w:val="sr-Cyrl-CS"/>
        </w:rPr>
        <w:t>У складу са одлукама Владе Републике Србије о мерама подстицања за повлашћене произвођаче електричне енергије</w:t>
      </w:r>
      <w:r w:rsidRPr="00B50E9C">
        <w:rPr>
          <w:rFonts w:ascii="Times New Roman" w:eastAsia="Times New Roman" w:hAnsi="Times New Roman"/>
          <w:iCs/>
          <w:sz w:val="24"/>
          <w:szCs w:val="24"/>
          <w:lang w:val="sr-Cyrl-RS"/>
        </w:rPr>
        <w:t>.</w:t>
      </w:r>
    </w:p>
    <w:p w14:paraId="39CF8561" w14:textId="77777777" w:rsidR="009F1724" w:rsidRPr="00B50E9C" w:rsidRDefault="009F1724" w:rsidP="009F1724">
      <w:pPr>
        <w:suppressAutoHyphens/>
        <w:spacing w:after="0" w:line="100" w:lineRule="atLeast"/>
        <w:jc w:val="both"/>
        <w:rPr>
          <w:rFonts w:ascii="Times New Roman" w:eastAsia="Times New Roman" w:hAnsi="Times New Roman"/>
          <w:iCs/>
          <w:sz w:val="24"/>
          <w:szCs w:val="24"/>
          <w:lang w:val="sr-Cyrl-RS"/>
        </w:rPr>
      </w:pPr>
    </w:p>
    <w:p w14:paraId="693CB8DF" w14:textId="77777777" w:rsidR="009F1724" w:rsidRPr="00B50E9C" w:rsidRDefault="009F1724" w:rsidP="009F1724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B50E9C">
        <w:rPr>
          <w:rFonts w:ascii="Times New Roman" w:eastAsia="Times New Roman" w:hAnsi="Times New Roman"/>
          <w:b/>
          <w:iCs/>
          <w:sz w:val="24"/>
          <w:szCs w:val="24"/>
          <w:lang w:val="sr-Latn-RS"/>
        </w:rPr>
        <w:t>Aкцизе за ут</w:t>
      </w:r>
      <w:r w:rsidRPr="00B50E9C">
        <w:rPr>
          <w:rFonts w:ascii="Times New Roman" w:eastAsia="Times New Roman" w:hAnsi="Times New Roman"/>
          <w:b/>
          <w:iCs/>
          <w:sz w:val="24"/>
          <w:szCs w:val="24"/>
          <w:lang w:val="sr-Cyrl-RS"/>
        </w:rPr>
        <w:t>ро</w:t>
      </w:r>
      <w:r w:rsidRPr="00B50E9C">
        <w:rPr>
          <w:rFonts w:ascii="Times New Roman" w:eastAsia="Times New Roman" w:hAnsi="Times New Roman"/>
          <w:b/>
          <w:iCs/>
          <w:sz w:val="24"/>
          <w:szCs w:val="24"/>
          <w:lang w:val="sr-Latn-RS"/>
        </w:rPr>
        <w:t>шену електричну енергију:</w:t>
      </w:r>
      <w:r w:rsidRPr="00B50E9C">
        <w:rPr>
          <w:rFonts w:ascii="Times New Roman" w:eastAsia="Times New Roman" w:hAnsi="Times New Roman"/>
          <w:iCs/>
          <w:sz w:val="24"/>
          <w:szCs w:val="24"/>
          <w:lang w:val="sr-Cyrl-RS"/>
        </w:rPr>
        <w:t xml:space="preserve"> Основица за обрачун акцизе на електричну енергију чини цена електричне енергије у коју се урачунавају сви трошкови који су директно везани за испоручену електричну енергију, а у складу са законом којим се уређује област енергетике.</w:t>
      </w:r>
    </w:p>
    <w:p w14:paraId="17E16EE5" w14:textId="02A7AA19" w:rsidR="00EF1F01" w:rsidRPr="00EF1F01" w:rsidRDefault="00EF1F01" w:rsidP="00EF1F01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iCs/>
          <w:sz w:val="24"/>
          <w:szCs w:val="24"/>
          <w:lang w:val="sr-Cyrl-RS"/>
        </w:rPr>
      </w:pPr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>Преглед по мерним места наручиоца са ЕД бројевима</w:t>
      </w:r>
    </w:p>
    <w:p w14:paraId="3E681498" w14:textId="77777777" w:rsidR="00EF1F01" w:rsidRPr="00EF1F01" w:rsidRDefault="00EF1F01" w:rsidP="00EF1F01">
      <w:pPr>
        <w:jc w:val="both"/>
        <w:rPr>
          <w:rFonts w:ascii="Times New Roman" w:eastAsia="Times New Roman" w:hAnsi="Times New Roman"/>
          <w:iCs/>
          <w:sz w:val="24"/>
          <w:szCs w:val="24"/>
          <w:lang w:val="sr-Cyrl-RS"/>
        </w:rPr>
      </w:pPr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 xml:space="preserve">           1.  4017768668 – ЕД </w:t>
      </w:r>
      <w:proofErr w:type="spellStart"/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>број</w:t>
      </w:r>
      <w:proofErr w:type="spellEnd"/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>: 0717135463 – ОСНОВНА ШКОЛА/СТАН/ КАЛАЊЕВЦИ, КАЛАЊЕВЦИ</w:t>
      </w:r>
    </w:p>
    <w:p w14:paraId="39EAD70C" w14:textId="77777777" w:rsidR="00EF1F01" w:rsidRPr="00EF1F01" w:rsidRDefault="00EF1F01" w:rsidP="00EF1F01">
      <w:pPr>
        <w:jc w:val="both"/>
        <w:rPr>
          <w:rFonts w:ascii="Times New Roman" w:eastAsia="Times New Roman" w:hAnsi="Times New Roman"/>
          <w:iCs/>
          <w:sz w:val="24"/>
          <w:szCs w:val="24"/>
          <w:lang w:val="sr-Cyrl-RS"/>
        </w:rPr>
      </w:pPr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ab/>
        <w:t xml:space="preserve">2. 4017768676 – ЕД </w:t>
      </w:r>
      <w:proofErr w:type="spellStart"/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>број</w:t>
      </w:r>
      <w:proofErr w:type="spellEnd"/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 xml:space="preserve">: 0717135458 </w:t>
      </w:r>
      <w:proofErr w:type="gramStart"/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>-  ОСНОВНА</w:t>
      </w:r>
      <w:proofErr w:type="gramEnd"/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 xml:space="preserve"> ШКОЛА КАЛАЊЕВЦИ, КАЛАЊЕВЦИ</w:t>
      </w:r>
    </w:p>
    <w:p w14:paraId="0148BA4F" w14:textId="77777777" w:rsidR="00EF1F01" w:rsidRPr="00EF1F01" w:rsidRDefault="00EF1F01" w:rsidP="00EF1F01">
      <w:pPr>
        <w:jc w:val="both"/>
        <w:rPr>
          <w:rFonts w:ascii="Times New Roman" w:eastAsia="Times New Roman" w:hAnsi="Times New Roman"/>
          <w:iCs/>
          <w:sz w:val="24"/>
          <w:szCs w:val="24"/>
          <w:lang w:val="sr-Cyrl-RS"/>
        </w:rPr>
      </w:pPr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ab/>
        <w:t xml:space="preserve">3. 4017768684 – ЕД </w:t>
      </w:r>
      <w:proofErr w:type="spellStart"/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>број</w:t>
      </w:r>
      <w:proofErr w:type="spellEnd"/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>: 0717072206 – СЛ.СТАН ШКОЛЕ ЖИВКОВЦИ, ЖИВКОВЦИ</w:t>
      </w:r>
    </w:p>
    <w:p w14:paraId="5E201F18" w14:textId="77777777" w:rsidR="00EF1F01" w:rsidRPr="00EF1F01" w:rsidRDefault="00EF1F01" w:rsidP="00EF1F01">
      <w:pPr>
        <w:jc w:val="both"/>
        <w:rPr>
          <w:rFonts w:ascii="Times New Roman" w:eastAsia="Times New Roman" w:hAnsi="Times New Roman"/>
          <w:iCs/>
          <w:sz w:val="24"/>
          <w:szCs w:val="24"/>
          <w:lang w:val="sr-Cyrl-RS"/>
        </w:rPr>
      </w:pPr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ab/>
        <w:t xml:space="preserve">4. 4017768692 – ЕД </w:t>
      </w:r>
      <w:proofErr w:type="spellStart"/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>број</w:t>
      </w:r>
      <w:proofErr w:type="spellEnd"/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>: 0717072190 – СТАН У ШКОЛИ ЖИВКОВЦИ, ЖИВКОВЦИ</w:t>
      </w:r>
    </w:p>
    <w:p w14:paraId="1155D6FB" w14:textId="77777777" w:rsidR="00EF1F01" w:rsidRPr="00EF1F01" w:rsidRDefault="00EF1F01" w:rsidP="00EF1F01">
      <w:pPr>
        <w:jc w:val="both"/>
        <w:rPr>
          <w:rFonts w:ascii="Times New Roman" w:eastAsia="Times New Roman" w:hAnsi="Times New Roman"/>
          <w:iCs/>
          <w:sz w:val="24"/>
          <w:szCs w:val="24"/>
          <w:lang w:val="sr-Cyrl-RS"/>
        </w:rPr>
      </w:pPr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ab/>
        <w:t xml:space="preserve">5. 4017768706 – ЕД </w:t>
      </w:r>
      <w:proofErr w:type="spellStart"/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>број</w:t>
      </w:r>
      <w:proofErr w:type="spellEnd"/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>: 0717072164 – ОДЕЉЕЊЕ КАЛАЊЕВЦИ, КАЛАЊЕВЦИ</w:t>
      </w:r>
    </w:p>
    <w:p w14:paraId="25251268" w14:textId="77777777" w:rsidR="00EF1F01" w:rsidRPr="00EF1F01" w:rsidRDefault="00EF1F01" w:rsidP="00EF1F01">
      <w:pPr>
        <w:jc w:val="both"/>
        <w:rPr>
          <w:rFonts w:ascii="Times New Roman" w:eastAsia="Times New Roman" w:hAnsi="Times New Roman"/>
          <w:iCs/>
          <w:sz w:val="24"/>
          <w:szCs w:val="24"/>
          <w:lang w:val="sr-Cyrl-RS"/>
        </w:rPr>
      </w:pPr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ab/>
        <w:t xml:space="preserve">6. 4017768714 – ЕД </w:t>
      </w:r>
      <w:proofErr w:type="spellStart"/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>број</w:t>
      </w:r>
      <w:proofErr w:type="spellEnd"/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>: 0717069973 – СЛ.СТАН ШКОЛЕ ПОЉАНИЦЕ, ПОЉАНИЦЕ</w:t>
      </w:r>
    </w:p>
    <w:p w14:paraId="1A3FF49A" w14:textId="77777777" w:rsidR="00EF1F01" w:rsidRPr="00EF1F01" w:rsidRDefault="00EF1F01" w:rsidP="00EF1F01">
      <w:pPr>
        <w:jc w:val="both"/>
        <w:rPr>
          <w:rFonts w:ascii="Times New Roman" w:eastAsia="Times New Roman" w:hAnsi="Times New Roman"/>
          <w:iCs/>
          <w:sz w:val="24"/>
          <w:szCs w:val="24"/>
          <w:lang w:val="sr-Cyrl-RS"/>
        </w:rPr>
      </w:pPr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ab/>
        <w:t xml:space="preserve">7. 4017768722 – ЕД </w:t>
      </w:r>
      <w:proofErr w:type="spellStart"/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>број</w:t>
      </w:r>
      <w:proofErr w:type="spellEnd"/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>: 0717069968 – ОДЕЉЕЊЕ КОЗЕЉ, КОЗЕЉ</w:t>
      </w:r>
    </w:p>
    <w:p w14:paraId="2297831A" w14:textId="77777777" w:rsidR="00EF1F01" w:rsidRPr="00EF1F01" w:rsidRDefault="00EF1F01" w:rsidP="00EF1F01">
      <w:pPr>
        <w:jc w:val="both"/>
        <w:rPr>
          <w:rFonts w:ascii="Times New Roman" w:eastAsia="Times New Roman" w:hAnsi="Times New Roman"/>
          <w:iCs/>
          <w:sz w:val="24"/>
          <w:szCs w:val="24"/>
          <w:lang w:val="sr-Cyrl-RS"/>
        </w:rPr>
      </w:pPr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ab/>
        <w:t xml:space="preserve">8. 4017768730 – ЕД </w:t>
      </w:r>
      <w:proofErr w:type="spellStart"/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>број</w:t>
      </w:r>
      <w:proofErr w:type="spellEnd"/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>: 0717069947 – СЛ.СТАН ШКОЛЕ КОЗЕЉ, КОЗЕЉ</w:t>
      </w:r>
    </w:p>
    <w:p w14:paraId="298D370A" w14:textId="77777777" w:rsidR="00EF1F01" w:rsidRPr="00EF1F01" w:rsidRDefault="00EF1F01" w:rsidP="00EF1F01">
      <w:pPr>
        <w:jc w:val="both"/>
        <w:rPr>
          <w:rFonts w:ascii="Times New Roman" w:eastAsia="Times New Roman" w:hAnsi="Times New Roman"/>
          <w:iCs/>
          <w:sz w:val="24"/>
          <w:szCs w:val="24"/>
          <w:lang w:val="sr-Cyrl-RS"/>
        </w:rPr>
      </w:pPr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ab/>
        <w:t xml:space="preserve">9. 4017768749 – ЕД </w:t>
      </w:r>
      <w:proofErr w:type="spellStart"/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>број</w:t>
      </w:r>
      <w:proofErr w:type="spellEnd"/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 xml:space="preserve">: 0717069890 </w:t>
      </w:r>
      <w:proofErr w:type="gramStart"/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>-  ОДЕЉЕЊЕ</w:t>
      </w:r>
      <w:proofErr w:type="gramEnd"/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 xml:space="preserve"> ЖИВКОВЦИ, ЖИВКОВЦИ</w:t>
      </w:r>
    </w:p>
    <w:p w14:paraId="2985561F" w14:textId="77777777" w:rsidR="00EF1F01" w:rsidRPr="00EF1F01" w:rsidRDefault="00EF1F01" w:rsidP="00EF1F01">
      <w:pPr>
        <w:jc w:val="both"/>
        <w:rPr>
          <w:rFonts w:ascii="Times New Roman" w:eastAsia="Times New Roman" w:hAnsi="Times New Roman"/>
          <w:iCs/>
          <w:sz w:val="24"/>
          <w:szCs w:val="24"/>
          <w:lang w:val="sr-Cyrl-RS"/>
        </w:rPr>
      </w:pPr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ab/>
        <w:t xml:space="preserve">10. 4017768757 – ЕД </w:t>
      </w:r>
      <w:proofErr w:type="spellStart"/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>број</w:t>
      </w:r>
      <w:proofErr w:type="spellEnd"/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>: 0717069780 – ОДЕЉЕЊЕ ШУТЦИ, ШУТЦИ</w:t>
      </w:r>
    </w:p>
    <w:p w14:paraId="7B45B4C8" w14:textId="77777777" w:rsidR="00EF1F01" w:rsidRPr="00EF1F01" w:rsidRDefault="00EF1F01" w:rsidP="00EF1F01">
      <w:pPr>
        <w:jc w:val="both"/>
        <w:rPr>
          <w:rFonts w:ascii="Times New Roman" w:eastAsia="Times New Roman" w:hAnsi="Times New Roman"/>
          <w:iCs/>
          <w:sz w:val="24"/>
          <w:szCs w:val="24"/>
          <w:lang w:val="sr-Cyrl-RS"/>
        </w:rPr>
      </w:pPr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ab/>
        <w:t xml:space="preserve">11. 4017768765 – ЕД </w:t>
      </w:r>
      <w:proofErr w:type="spellStart"/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>број</w:t>
      </w:r>
      <w:proofErr w:type="spellEnd"/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>: 0717069769 – ОДЕЉЕЊЕ ПОЉАНИЦЕ, ПОЉАНИЦЕ</w:t>
      </w:r>
    </w:p>
    <w:p w14:paraId="3C354E79" w14:textId="77777777" w:rsidR="00EF1F01" w:rsidRPr="00EF1F01" w:rsidRDefault="00EF1F01" w:rsidP="00EF1F01">
      <w:pPr>
        <w:jc w:val="both"/>
        <w:rPr>
          <w:rFonts w:ascii="Times New Roman" w:eastAsia="Times New Roman" w:hAnsi="Times New Roman"/>
          <w:iCs/>
          <w:sz w:val="24"/>
          <w:szCs w:val="24"/>
          <w:lang w:val="sr-Cyrl-RS"/>
        </w:rPr>
      </w:pPr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ab/>
        <w:t xml:space="preserve">12. 4017768773 – ЕД </w:t>
      </w:r>
      <w:proofErr w:type="spellStart"/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>број</w:t>
      </w:r>
      <w:proofErr w:type="spellEnd"/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>: 0717112335 – СЛ.СТАН ШКОЛЕ ШУТЦИ, ШУТЦИ</w:t>
      </w:r>
    </w:p>
    <w:p w14:paraId="64104E7F" w14:textId="77777777" w:rsidR="00EF1F01" w:rsidRPr="00EF1F01" w:rsidRDefault="00EF1F01" w:rsidP="00EF1F01">
      <w:pPr>
        <w:jc w:val="both"/>
        <w:rPr>
          <w:rFonts w:ascii="Times New Roman" w:eastAsia="Times New Roman" w:hAnsi="Times New Roman"/>
          <w:iCs/>
          <w:sz w:val="24"/>
          <w:szCs w:val="24"/>
          <w:lang w:val="sr-Cyrl-RS"/>
        </w:rPr>
      </w:pPr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ab/>
        <w:t xml:space="preserve">13. 4017768781 – ЕД </w:t>
      </w:r>
      <w:proofErr w:type="spellStart"/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>број</w:t>
      </w:r>
      <w:proofErr w:type="spellEnd"/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>: 9525719438 – ОСНОВНА ШКОЛА «СЕСТРЕ ПАВЛОВИЋ», БЕЛАНОВИЦА, 14246 ЉИГ</w:t>
      </w:r>
    </w:p>
    <w:p w14:paraId="412629C9" w14:textId="60A05678" w:rsidR="007B5372" w:rsidRPr="00EF1F01" w:rsidRDefault="00EF1F01" w:rsidP="00EF1F01">
      <w:pPr>
        <w:jc w:val="both"/>
        <w:rPr>
          <w:rFonts w:ascii="Times New Roman" w:eastAsia="Times New Roman" w:hAnsi="Times New Roman"/>
          <w:iCs/>
          <w:sz w:val="24"/>
          <w:szCs w:val="24"/>
          <w:lang w:val="sr-Cyrl-RS"/>
        </w:rPr>
      </w:pPr>
      <w:r w:rsidRPr="00EF1F01">
        <w:rPr>
          <w:rFonts w:ascii="Times New Roman" w:eastAsia="Times New Roman" w:hAnsi="Times New Roman"/>
          <w:iCs/>
          <w:sz w:val="24"/>
          <w:szCs w:val="24"/>
          <w:lang w:val="sr-Cyrl-RS"/>
        </w:rPr>
        <w:tab/>
      </w:r>
    </w:p>
    <w:sectPr w:rsidR="007B5372" w:rsidRPr="00EF1F01" w:rsidSect="00A97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5E9D"/>
    <w:multiLevelType w:val="hybridMultilevel"/>
    <w:tmpl w:val="0000489C"/>
    <w:lvl w:ilvl="0" w:tplc="00001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82E227B"/>
    <w:multiLevelType w:val="hybridMultilevel"/>
    <w:tmpl w:val="F9CC986E"/>
    <w:lvl w:ilvl="0" w:tplc="63145F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2353398">
    <w:abstractNumId w:val="0"/>
  </w:num>
  <w:num w:numId="2" w16cid:durableId="10226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24"/>
    <w:rsid w:val="007B5372"/>
    <w:rsid w:val="009F1724"/>
    <w:rsid w:val="00A97306"/>
    <w:rsid w:val="00E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72537"/>
  <w15:chartTrackingRefBased/>
  <w15:docId w15:val="{05C84894-BE49-4E31-9296-E57309C4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7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2022-08-18T08:05:00Z</dcterms:created>
  <dcterms:modified xsi:type="dcterms:W3CDTF">2023-11-18T21:00:00Z</dcterms:modified>
</cp:coreProperties>
</file>